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5DDD9D" w14:textId="00291FBF" w:rsidR="00413F15" w:rsidRDefault="00413F15" w:rsidP="00413F15">
      <w:pPr>
        <w:adjustRightInd w:val="0"/>
        <w:snapToGrid w:val="0"/>
        <w:spacing w:line="480" w:lineRule="auto"/>
        <w:jc w:val="center"/>
        <w:rPr>
          <w:b/>
        </w:rPr>
      </w:pPr>
      <w:r w:rsidRPr="00714DD4">
        <w:rPr>
          <w:b/>
        </w:rPr>
        <w:t>Technical Notes</w:t>
      </w:r>
      <w:r>
        <w:rPr>
          <w:b/>
        </w:rPr>
        <w:t xml:space="preserve"> Explaining </w:t>
      </w:r>
      <w:r w:rsidRPr="004158B3">
        <w:rPr>
          <w:b/>
        </w:rPr>
        <w:t>the Chinese Environmentally Extended Input-Output (CEEIO) Database</w:t>
      </w:r>
      <w:r w:rsidR="00FC7DB7">
        <w:rPr>
          <w:b/>
        </w:rPr>
        <w:t xml:space="preserve"> (Version 3.0</w:t>
      </w:r>
      <w:bookmarkStart w:id="0" w:name="_GoBack"/>
      <w:bookmarkEnd w:id="0"/>
      <w:r>
        <w:rPr>
          <w:b/>
        </w:rPr>
        <w:t>)</w:t>
      </w:r>
    </w:p>
    <w:p w14:paraId="480BAC92" w14:textId="77777777" w:rsidR="00413F15" w:rsidRDefault="00413F15" w:rsidP="00413F15">
      <w:pPr>
        <w:adjustRightInd w:val="0"/>
        <w:snapToGrid w:val="0"/>
        <w:spacing w:line="480" w:lineRule="auto"/>
        <w:jc w:val="center"/>
        <w:rPr>
          <w:b/>
        </w:rPr>
      </w:pPr>
      <w:r>
        <w:rPr>
          <w:b/>
        </w:rPr>
        <w:t>October 5, 2021</w:t>
      </w:r>
    </w:p>
    <w:p w14:paraId="02E84365" w14:textId="77777777" w:rsidR="00413F15" w:rsidRDefault="00413F15" w:rsidP="00413F15">
      <w:pPr>
        <w:adjustRightInd w:val="0"/>
        <w:snapToGrid w:val="0"/>
        <w:spacing w:line="480" w:lineRule="auto"/>
      </w:pPr>
      <w:r w:rsidRPr="00DF206B">
        <w:t xml:space="preserve">Please refer to </w:t>
      </w:r>
      <w:r>
        <w:t xml:space="preserve">“Tian, X.; Liu, Y.-W.; Xu, M.; Liang, S.; Liu, Y.-B. Chinese Environmentally Extended Input-Output Database for 2017 and 2018. </w:t>
      </w:r>
      <w:r>
        <w:rPr>
          <w:i/>
        </w:rPr>
        <w:t xml:space="preserve">Scientific Data </w:t>
      </w:r>
      <w:r>
        <w:rPr>
          <w:b/>
        </w:rPr>
        <w:t>2021</w:t>
      </w:r>
      <w:r>
        <w:t xml:space="preserve">, </w:t>
      </w:r>
      <w:r w:rsidRPr="00DF206B">
        <w:rPr>
          <w:i/>
        </w:rPr>
        <w:t>8</w:t>
      </w:r>
      <w:r>
        <w:t xml:space="preserve">, </w:t>
      </w:r>
      <w:r w:rsidRPr="00DF206B">
        <w:t>256</w:t>
      </w:r>
      <w:r>
        <w:t>” for technical notes on CEEIO 2017 and 2018.</w:t>
      </w:r>
    </w:p>
    <w:p w14:paraId="4A2DAD9E" w14:textId="77777777" w:rsidR="00413F15" w:rsidRDefault="00413F15" w:rsidP="002B374C">
      <w:pPr>
        <w:pStyle w:val="Heading4"/>
        <w:shd w:val="clear" w:color="auto" w:fill="FFFFFF"/>
        <w:spacing w:before="0" w:beforeAutospacing="0" w:after="150" w:afterAutospacing="0"/>
        <w:jc w:val="center"/>
        <w:rPr>
          <w:rFonts w:eastAsia="SimSun"/>
          <w:bCs w:val="0"/>
          <w:color w:val="222222"/>
          <w:sz w:val="28"/>
        </w:rPr>
      </w:pPr>
    </w:p>
    <w:p w14:paraId="6D6810EA" w14:textId="77777777" w:rsidR="00413F15" w:rsidRDefault="00413F15" w:rsidP="002B374C">
      <w:pPr>
        <w:pStyle w:val="Heading4"/>
        <w:shd w:val="clear" w:color="auto" w:fill="FFFFFF"/>
        <w:spacing w:before="0" w:beforeAutospacing="0" w:after="150" w:afterAutospacing="0"/>
        <w:jc w:val="center"/>
        <w:rPr>
          <w:rFonts w:eastAsia="SimSun"/>
          <w:bCs w:val="0"/>
          <w:color w:val="222222"/>
          <w:sz w:val="28"/>
        </w:rPr>
      </w:pPr>
    </w:p>
    <w:p w14:paraId="75E6798D" w14:textId="556A6315" w:rsidR="00FA739F" w:rsidRPr="0022137E" w:rsidRDefault="00010077" w:rsidP="002B374C">
      <w:pPr>
        <w:pStyle w:val="Heading4"/>
        <w:shd w:val="clear" w:color="auto" w:fill="FFFFFF"/>
        <w:spacing w:before="0" w:beforeAutospacing="0" w:after="150" w:afterAutospacing="0"/>
        <w:jc w:val="center"/>
        <w:rPr>
          <w:rFonts w:eastAsia="SimSun"/>
          <w:bCs w:val="0"/>
          <w:color w:val="222222"/>
          <w:sz w:val="28"/>
        </w:rPr>
      </w:pPr>
      <w:r>
        <w:rPr>
          <w:rFonts w:eastAsia="SimSun"/>
          <w:bCs w:val="0"/>
          <w:color w:val="222222"/>
          <w:sz w:val="28"/>
        </w:rPr>
        <w:t>Updates</w:t>
      </w:r>
      <w:r w:rsidR="00FA739F" w:rsidRPr="0022137E">
        <w:rPr>
          <w:rFonts w:eastAsia="SimSun"/>
          <w:bCs w:val="0"/>
          <w:color w:val="222222"/>
          <w:sz w:val="28"/>
        </w:rPr>
        <w:t xml:space="preserve"> of CEEIO Database Version 2.0</w:t>
      </w:r>
    </w:p>
    <w:p w14:paraId="48F61248" w14:textId="0B5AC3D7" w:rsidR="00FA739F" w:rsidRPr="0022137E" w:rsidRDefault="00FA739F" w:rsidP="00FA739F">
      <w:pPr>
        <w:spacing w:line="360" w:lineRule="auto"/>
        <w:ind w:firstLine="480"/>
        <w:rPr>
          <w:rFonts w:eastAsia="SimSun"/>
          <w:bCs/>
          <w:color w:val="222222"/>
        </w:rPr>
      </w:pPr>
      <w:r w:rsidRPr="0022137E">
        <w:rPr>
          <w:rFonts w:eastAsia="SimSun"/>
          <w:bCs/>
          <w:color w:val="222222"/>
        </w:rPr>
        <w:t>Comparing with Version 1.2, CEEIO database Version 2.0 has been revised as follows:</w:t>
      </w:r>
    </w:p>
    <w:p w14:paraId="7EA82269" w14:textId="77777777" w:rsidR="00B05BB0" w:rsidRPr="00B05BB0" w:rsidRDefault="00FA739F" w:rsidP="00F00D1F">
      <w:pPr>
        <w:pStyle w:val="ListParagraph"/>
        <w:widowControl/>
        <w:numPr>
          <w:ilvl w:val="0"/>
          <w:numId w:val="3"/>
        </w:numPr>
        <w:spacing w:line="360" w:lineRule="auto"/>
        <w:ind w:firstLineChars="0"/>
        <w:rPr>
          <w:rFonts w:ascii="Times New Roman" w:eastAsia="DengXian" w:hAnsi="Times New Roman" w:cs="Times New Roman"/>
          <w:kern w:val="0"/>
        </w:rPr>
      </w:pPr>
      <w:r w:rsidRPr="0022137E">
        <w:rPr>
          <w:rFonts w:ascii="Times New Roman" w:eastAsia="DengXian" w:hAnsi="Times New Roman" w:cs="Times New Roman"/>
          <w:kern w:val="0"/>
        </w:rPr>
        <w:t>For databases with 45-sector format of all the years (</w:t>
      </w:r>
      <w:r w:rsidRPr="0022137E">
        <w:rPr>
          <w:rFonts w:ascii="Times New Roman" w:eastAsia="SimSun" w:hAnsi="Times New Roman" w:cs="Times New Roman"/>
          <w:bCs/>
          <w:color w:val="222222"/>
        </w:rPr>
        <w:t>1992, 1997, 2002, 2007 and 2012):</w:t>
      </w:r>
    </w:p>
    <w:p w14:paraId="0EF397ED" w14:textId="77777777" w:rsidR="00B05BB0" w:rsidRDefault="00FA739F" w:rsidP="00B05BB0">
      <w:pPr>
        <w:pStyle w:val="ListParagraph"/>
        <w:widowControl/>
        <w:spacing w:line="360" w:lineRule="auto"/>
        <w:ind w:left="360" w:firstLineChars="0" w:firstLine="0"/>
        <w:rPr>
          <w:rFonts w:ascii="Times New Roman" w:eastAsia="SimSun" w:hAnsi="Times New Roman" w:cs="Times New Roman"/>
          <w:bCs/>
          <w:color w:val="222222"/>
        </w:rPr>
      </w:pPr>
      <w:r w:rsidRPr="0022137E">
        <w:rPr>
          <w:rFonts w:ascii="Times New Roman" w:eastAsia="SimSun" w:hAnsi="Times New Roman" w:cs="Times New Roman"/>
          <w:bCs/>
          <w:color w:val="222222"/>
        </w:rPr>
        <w:t>title of the 22</w:t>
      </w:r>
      <w:r w:rsidRPr="0022137E">
        <w:rPr>
          <w:rFonts w:ascii="Times New Roman" w:eastAsia="SimSun" w:hAnsi="Times New Roman" w:cs="Times New Roman"/>
          <w:bCs/>
          <w:color w:val="222222"/>
          <w:vertAlign w:val="superscript"/>
        </w:rPr>
        <w:t>nd</w:t>
      </w:r>
      <w:r w:rsidRPr="0022137E">
        <w:rPr>
          <w:rFonts w:ascii="Times New Roman" w:eastAsia="SimSun" w:hAnsi="Times New Roman" w:cs="Times New Roman"/>
          <w:bCs/>
          <w:color w:val="222222"/>
        </w:rPr>
        <w:t xml:space="preserve"> </w:t>
      </w:r>
      <w:r w:rsidR="00C20E62" w:rsidRPr="0022137E">
        <w:rPr>
          <w:rFonts w:ascii="Times New Roman" w:eastAsia="DengXian" w:hAnsi="Times New Roman" w:cs="Times New Roman"/>
          <w:kern w:val="0"/>
        </w:rPr>
        <w:t xml:space="preserve">sector </w:t>
      </w:r>
      <w:r w:rsidRPr="0022137E">
        <w:rPr>
          <w:rFonts w:ascii="Times New Roman" w:eastAsia="SimSun" w:hAnsi="Times New Roman" w:cs="Times New Roman"/>
          <w:bCs/>
          <w:color w:val="222222"/>
        </w:rPr>
        <w:t>is corrected as “</w:t>
      </w:r>
      <w:r w:rsidRPr="0022137E">
        <w:rPr>
          <w:rFonts w:ascii="Times New Roman" w:eastAsia="DengXian" w:hAnsi="Times New Roman" w:cs="Times New Roman"/>
          <w:kern w:val="0"/>
        </w:rPr>
        <w:t>Processing of petroleum, coking and processing of nuclear fuel</w:t>
      </w:r>
      <w:r w:rsidRPr="0022137E">
        <w:rPr>
          <w:rFonts w:ascii="Times New Roman" w:eastAsia="SimSun" w:hAnsi="Times New Roman" w:cs="Times New Roman"/>
          <w:bCs/>
          <w:color w:val="222222"/>
        </w:rPr>
        <w:t>” from “</w:t>
      </w:r>
      <w:r w:rsidRPr="0022137E">
        <w:rPr>
          <w:rFonts w:ascii="Times New Roman" w:eastAsia="DengXian" w:hAnsi="Times New Roman" w:cs="Times New Roman"/>
          <w:kern w:val="0"/>
        </w:rPr>
        <w:t>Petroleum refining and nuclear fuel</w:t>
      </w:r>
      <w:r w:rsidRPr="0022137E">
        <w:rPr>
          <w:rFonts w:ascii="Times New Roman" w:eastAsia="SimSun" w:hAnsi="Times New Roman" w:cs="Times New Roman"/>
          <w:bCs/>
          <w:color w:val="222222"/>
        </w:rPr>
        <w:t>”;</w:t>
      </w:r>
    </w:p>
    <w:p w14:paraId="7F937863" w14:textId="77777777" w:rsidR="00B05BB0" w:rsidRDefault="00FA739F" w:rsidP="00B05BB0">
      <w:pPr>
        <w:pStyle w:val="ListParagraph"/>
        <w:widowControl/>
        <w:spacing w:line="360" w:lineRule="auto"/>
        <w:ind w:left="360" w:firstLineChars="0" w:firstLine="0"/>
        <w:rPr>
          <w:rFonts w:ascii="Times New Roman" w:eastAsia="DengXian" w:hAnsi="Times New Roman" w:cs="Times New Roman"/>
          <w:kern w:val="0"/>
        </w:rPr>
      </w:pPr>
      <w:r w:rsidRPr="0022137E">
        <w:rPr>
          <w:rFonts w:ascii="Times New Roman" w:eastAsia="SimSun" w:hAnsi="Times New Roman" w:cs="Times New Roman"/>
          <w:bCs/>
          <w:color w:val="222222"/>
        </w:rPr>
        <w:t>title of the 23</w:t>
      </w:r>
      <w:r w:rsidRPr="0022137E">
        <w:rPr>
          <w:rFonts w:ascii="Times New Roman" w:eastAsia="SimSun" w:hAnsi="Times New Roman" w:cs="Times New Roman"/>
          <w:bCs/>
          <w:color w:val="222222"/>
          <w:vertAlign w:val="superscript"/>
        </w:rPr>
        <w:t>rd</w:t>
      </w:r>
      <w:r w:rsidRPr="0022137E">
        <w:rPr>
          <w:rFonts w:ascii="Times New Roman" w:eastAsia="SimSun" w:hAnsi="Times New Roman" w:cs="Times New Roman"/>
          <w:bCs/>
          <w:color w:val="222222"/>
        </w:rPr>
        <w:t xml:space="preserve"> </w:t>
      </w:r>
      <w:r w:rsidR="00C20E62" w:rsidRPr="0022137E">
        <w:rPr>
          <w:rFonts w:ascii="Times New Roman" w:eastAsia="DengXian" w:hAnsi="Times New Roman" w:cs="Times New Roman"/>
          <w:kern w:val="0"/>
        </w:rPr>
        <w:t xml:space="preserve">sector </w:t>
      </w:r>
      <w:r w:rsidRPr="0022137E">
        <w:rPr>
          <w:rFonts w:ascii="Times New Roman" w:eastAsia="SimSun" w:hAnsi="Times New Roman" w:cs="Times New Roman"/>
          <w:bCs/>
          <w:color w:val="222222"/>
        </w:rPr>
        <w:t>is corrected as “</w:t>
      </w:r>
      <w:r w:rsidRPr="0022137E">
        <w:rPr>
          <w:rFonts w:ascii="Times New Roman" w:eastAsia="DengXian" w:hAnsi="Times New Roman" w:cs="Times New Roman"/>
          <w:kern w:val="0"/>
        </w:rPr>
        <w:t>Raw chemical materials and chemical products” from “Coking”;</w:t>
      </w:r>
    </w:p>
    <w:p w14:paraId="3D5BB1CC" w14:textId="77777777" w:rsidR="00B05BB0" w:rsidRDefault="00FA739F" w:rsidP="00B05BB0">
      <w:pPr>
        <w:pStyle w:val="ListParagraph"/>
        <w:widowControl/>
        <w:spacing w:line="360" w:lineRule="auto"/>
        <w:ind w:left="360" w:firstLineChars="0" w:firstLine="0"/>
        <w:rPr>
          <w:rFonts w:ascii="Times New Roman" w:eastAsia="DengXian" w:hAnsi="Times New Roman" w:cs="Times New Roman"/>
          <w:kern w:val="0"/>
        </w:rPr>
      </w:pPr>
      <w:r w:rsidRPr="0022137E">
        <w:rPr>
          <w:rFonts w:ascii="Times New Roman" w:eastAsia="DengXian" w:hAnsi="Times New Roman" w:cs="Times New Roman"/>
          <w:kern w:val="0"/>
        </w:rPr>
        <w:t>title of the 24</w:t>
      </w:r>
      <w:r w:rsidRPr="0022137E">
        <w:rPr>
          <w:rFonts w:ascii="Times New Roman" w:eastAsia="DengXian" w:hAnsi="Times New Roman" w:cs="Times New Roman"/>
          <w:kern w:val="0"/>
          <w:vertAlign w:val="superscript"/>
        </w:rPr>
        <w:t>th</w:t>
      </w:r>
      <w:r w:rsidRPr="0022137E">
        <w:rPr>
          <w:rFonts w:ascii="Times New Roman" w:eastAsia="DengXian" w:hAnsi="Times New Roman" w:cs="Times New Roman"/>
          <w:kern w:val="0"/>
        </w:rPr>
        <w:t xml:space="preserve"> </w:t>
      </w:r>
      <w:r w:rsidR="00C20E62" w:rsidRPr="0022137E">
        <w:rPr>
          <w:rFonts w:ascii="Times New Roman" w:eastAsia="DengXian" w:hAnsi="Times New Roman" w:cs="Times New Roman"/>
          <w:kern w:val="0"/>
        </w:rPr>
        <w:t xml:space="preserve">sector </w:t>
      </w:r>
      <w:r w:rsidRPr="0022137E">
        <w:rPr>
          <w:rFonts w:ascii="Times New Roman" w:eastAsia="DengXian" w:hAnsi="Times New Roman" w:cs="Times New Roman"/>
          <w:kern w:val="0"/>
        </w:rPr>
        <w:t>is corrected as “Medical and pharmaceutical products” from “Chemical materials”;</w:t>
      </w:r>
    </w:p>
    <w:p w14:paraId="0CD313DA" w14:textId="01C0AE9D" w:rsidR="00FA739F" w:rsidRPr="0022137E" w:rsidRDefault="00FA739F" w:rsidP="00B05BB0">
      <w:pPr>
        <w:pStyle w:val="ListParagraph"/>
        <w:widowControl/>
        <w:spacing w:line="360" w:lineRule="auto"/>
        <w:ind w:left="360" w:firstLineChars="0" w:firstLine="0"/>
        <w:rPr>
          <w:rFonts w:ascii="Times New Roman" w:eastAsia="DengXian" w:hAnsi="Times New Roman" w:cs="Times New Roman"/>
          <w:kern w:val="0"/>
        </w:rPr>
      </w:pPr>
      <w:r w:rsidRPr="0022137E">
        <w:rPr>
          <w:rFonts w:ascii="Times New Roman" w:eastAsia="DengXian" w:hAnsi="Times New Roman" w:cs="Times New Roman"/>
          <w:kern w:val="0"/>
        </w:rPr>
        <w:t>title of the 44</w:t>
      </w:r>
      <w:r w:rsidRPr="0022137E">
        <w:rPr>
          <w:rFonts w:ascii="Times New Roman" w:eastAsia="DengXian" w:hAnsi="Times New Roman" w:cs="Times New Roman"/>
          <w:kern w:val="0"/>
          <w:vertAlign w:val="superscript"/>
        </w:rPr>
        <w:t>th</w:t>
      </w:r>
      <w:r w:rsidRPr="0022137E">
        <w:rPr>
          <w:rFonts w:ascii="Times New Roman" w:eastAsia="DengXian" w:hAnsi="Times New Roman" w:cs="Times New Roman"/>
          <w:kern w:val="0"/>
        </w:rPr>
        <w:t xml:space="preserve"> </w:t>
      </w:r>
      <w:r w:rsidR="00C20E62" w:rsidRPr="0022137E">
        <w:rPr>
          <w:rFonts w:ascii="Times New Roman" w:eastAsia="DengXian" w:hAnsi="Times New Roman" w:cs="Times New Roman"/>
          <w:kern w:val="0"/>
        </w:rPr>
        <w:t xml:space="preserve">sector </w:t>
      </w:r>
      <w:r w:rsidRPr="0022137E">
        <w:rPr>
          <w:rFonts w:ascii="Times New Roman" w:eastAsia="DengXian" w:hAnsi="Times New Roman" w:cs="Times New Roman"/>
          <w:kern w:val="0"/>
        </w:rPr>
        <w:t>is corrected as “Transport” from “Transport and post”.</w:t>
      </w:r>
    </w:p>
    <w:p w14:paraId="6E9F0E67" w14:textId="57F765CC" w:rsidR="00FA739F" w:rsidRPr="0022137E" w:rsidRDefault="00FA739F" w:rsidP="00F00D1F">
      <w:pPr>
        <w:pStyle w:val="ListParagraph"/>
        <w:numPr>
          <w:ilvl w:val="0"/>
          <w:numId w:val="3"/>
        </w:numPr>
        <w:spacing w:line="360" w:lineRule="auto"/>
        <w:ind w:firstLineChars="0"/>
        <w:rPr>
          <w:rFonts w:ascii="Times New Roman" w:eastAsia="SimSun" w:hAnsi="Times New Roman" w:cs="Times New Roman"/>
          <w:bCs/>
          <w:color w:val="222222"/>
        </w:rPr>
      </w:pPr>
      <w:r w:rsidRPr="0022137E">
        <w:rPr>
          <w:rFonts w:ascii="Times New Roman" w:eastAsia="SimSun" w:hAnsi="Times New Roman" w:cs="Times New Roman"/>
          <w:bCs/>
          <w:color w:val="222222"/>
        </w:rPr>
        <w:t>For databases with all the formats (45-, 91- and 124-sector</w:t>
      </w:r>
      <w:r w:rsidR="00C20E62" w:rsidRPr="0022137E">
        <w:rPr>
          <w:rFonts w:ascii="Times New Roman" w:eastAsia="SimSun" w:hAnsi="Times New Roman" w:cs="Times New Roman"/>
          <w:bCs/>
          <w:color w:val="222222"/>
        </w:rPr>
        <w:t xml:space="preserve"> format</w:t>
      </w:r>
      <w:r w:rsidR="00B05BB0">
        <w:rPr>
          <w:rFonts w:ascii="Times New Roman" w:eastAsia="SimSun" w:hAnsi="Times New Roman" w:cs="Times New Roman"/>
          <w:bCs/>
          <w:color w:val="222222"/>
        </w:rPr>
        <w:t>s</w:t>
      </w:r>
      <w:r w:rsidRPr="0022137E">
        <w:rPr>
          <w:rFonts w:ascii="Times New Roman" w:eastAsia="SimSun" w:hAnsi="Times New Roman" w:cs="Times New Roman"/>
          <w:bCs/>
          <w:color w:val="222222"/>
        </w:rPr>
        <w:t>)</w:t>
      </w:r>
      <w:r w:rsidR="00C20E62" w:rsidRPr="0022137E">
        <w:rPr>
          <w:rFonts w:ascii="Times New Roman" w:eastAsia="SimSun" w:hAnsi="Times New Roman" w:cs="Times New Roman"/>
          <w:bCs/>
          <w:color w:val="222222"/>
        </w:rPr>
        <w:t>, the freshwater consumption of the sector “</w:t>
      </w:r>
      <w:r w:rsidR="00C20E62" w:rsidRPr="0022137E">
        <w:rPr>
          <w:rFonts w:ascii="Times New Roman" w:eastAsia="DengXian" w:hAnsi="Times New Roman" w:cs="Times New Roman"/>
          <w:kern w:val="0"/>
        </w:rPr>
        <w:t>Medical and pharmaceutical products” in 1997 is corrected as 485.25 million tons from 185.25 million tons.</w:t>
      </w:r>
    </w:p>
    <w:p w14:paraId="30F2A4BD" w14:textId="601E9CD3" w:rsidR="00C20E62" w:rsidRPr="0022137E" w:rsidRDefault="00C20E62" w:rsidP="00F00D1F">
      <w:pPr>
        <w:pStyle w:val="ListParagraph"/>
        <w:numPr>
          <w:ilvl w:val="0"/>
          <w:numId w:val="3"/>
        </w:numPr>
        <w:spacing w:line="360" w:lineRule="auto"/>
        <w:ind w:firstLineChars="0"/>
        <w:rPr>
          <w:rFonts w:ascii="Times New Roman" w:eastAsia="SimSun" w:hAnsi="Times New Roman" w:cs="Times New Roman"/>
          <w:color w:val="000000"/>
        </w:rPr>
      </w:pPr>
      <w:r w:rsidRPr="0022137E">
        <w:rPr>
          <w:rFonts w:ascii="Times New Roman" w:eastAsia="SimSun" w:hAnsi="Times New Roman" w:cs="Times New Roman"/>
          <w:color w:val="000000"/>
        </w:rPr>
        <w:lastRenderedPageBreak/>
        <w:t>For database</w:t>
      </w:r>
      <w:r w:rsidR="0022137E" w:rsidRPr="0022137E">
        <w:rPr>
          <w:rFonts w:ascii="Times New Roman" w:eastAsia="SimSun" w:hAnsi="Times New Roman" w:cs="Times New Roman"/>
          <w:color w:val="000000"/>
        </w:rPr>
        <w:t>s</w:t>
      </w:r>
      <w:r w:rsidRPr="0022137E">
        <w:rPr>
          <w:rFonts w:ascii="Times New Roman" w:eastAsia="SimSun" w:hAnsi="Times New Roman" w:cs="Times New Roman"/>
          <w:color w:val="000000"/>
        </w:rPr>
        <w:t xml:space="preserve"> of 2012, the sector “Metal products, machinery and equipment repairs” in</w:t>
      </w:r>
      <w:r w:rsidR="0022137E" w:rsidRPr="0022137E">
        <w:rPr>
          <w:rFonts w:ascii="Times New Roman" w:eastAsia="SimSun" w:hAnsi="Times New Roman" w:cs="Times New Roman"/>
          <w:color w:val="000000"/>
        </w:rPr>
        <w:t xml:space="preserve"> the</w:t>
      </w:r>
      <w:r w:rsidRPr="0022137E">
        <w:rPr>
          <w:rFonts w:ascii="Times New Roman" w:eastAsia="SimSun" w:hAnsi="Times New Roman" w:cs="Times New Roman"/>
          <w:color w:val="000000"/>
        </w:rPr>
        <w:t xml:space="preserve"> 139-sector format database is </w:t>
      </w:r>
      <w:r w:rsidR="0022137E" w:rsidRPr="0022137E">
        <w:rPr>
          <w:rFonts w:ascii="Times New Roman" w:eastAsia="SimSun" w:hAnsi="Times New Roman" w:cs="Times New Roman"/>
          <w:color w:val="000000"/>
        </w:rPr>
        <w:t>re</w:t>
      </w:r>
      <w:r w:rsidRPr="0022137E">
        <w:rPr>
          <w:rFonts w:ascii="Times New Roman" w:eastAsia="SimSun" w:hAnsi="Times New Roman" w:cs="Times New Roman"/>
          <w:color w:val="000000"/>
        </w:rPr>
        <w:t xml:space="preserve">assigned to the sector “Arts and crafts products and other manufacturing products”, instead of the </w:t>
      </w:r>
      <w:r w:rsidR="0022137E" w:rsidRPr="0022137E">
        <w:rPr>
          <w:rFonts w:ascii="Times New Roman" w:eastAsia="SimSun" w:hAnsi="Times New Roman" w:cs="Times New Roman"/>
          <w:color w:val="000000"/>
        </w:rPr>
        <w:t xml:space="preserve">original </w:t>
      </w:r>
      <w:r w:rsidRPr="0022137E">
        <w:rPr>
          <w:rFonts w:ascii="Times New Roman" w:eastAsia="SimSun" w:hAnsi="Times New Roman" w:cs="Times New Roman"/>
          <w:color w:val="000000"/>
        </w:rPr>
        <w:t>sector “</w:t>
      </w:r>
      <w:r w:rsidRPr="0022137E">
        <w:rPr>
          <w:rFonts w:ascii="Times New Roman" w:eastAsia="SimSun" w:hAnsi="Times New Roman" w:cs="Times New Roman"/>
        </w:rPr>
        <w:t xml:space="preserve">Other services” in both 45-sector and 91-sector format databases. Correspondingly, the Input-Output Table and the environmental satellite account </w:t>
      </w:r>
      <w:r w:rsidR="0022137E" w:rsidRPr="0022137E">
        <w:rPr>
          <w:rFonts w:ascii="Times New Roman" w:eastAsia="SimSun" w:hAnsi="Times New Roman" w:cs="Times New Roman"/>
        </w:rPr>
        <w:t xml:space="preserve">of 2012 </w:t>
      </w:r>
      <w:r w:rsidRPr="0022137E">
        <w:rPr>
          <w:rFonts w:ascii="Times New Roman" w:eastAsia="SimSun" w:hAnsi="Times New Roman" w:cs="Times New Roman"/>
        </w:rPr>
        <w:t>are corrected with the latest sector classification.</w:t>
      </w:r>
    </w:p>
    <w:sectPr w:rsidR="00C20E62" w:rsidRPr="0022137E" w:rsidSect="00B646C2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D25BF"/>
    <w:multiLevelType w:val="hybridMultilevel"/>
    <w:tmpl w:val="E8CA0A7E"/>
    <w:lvl w:ilvl="0" w:tplc="7DE67654">
      <w:start w:val="1"/>
      <w:numFmt w:val="decimal"/>
      <w:lvlText w:val="%1."/>
      <w:lvlJc w:val="left"/>
      <w:pPr>
        <w:ind w:left="360" w:hanging="360"/>
      </w:pPr>
      <w:rPr>
        <w:rFonts w:eastAsia="SimSun" w:hint="eastAsia"/>
        <w:color w:val="222222"/>
        <w:sz w:val="24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D1D79E4"/>
    <w:multiLevelType w:val="hybridMultilevel"/>
    <w:tmpl w:val="9BAE0E60"/>
    <w:lvl w:ilvl="0" w:tplc="6130D14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4851E82"/>
    <w:multiLevelType w:val="hybridMultilevel"/>
    <w:tmpl w:val="837E023A"/>
    <w:lvl w:ilvl="0" w:tplc="97BA5E2E">
      <w:start w:val="1"/>
      <w:numFmt w:val="decimal"/>
      <w:lvlText w:val="%1."/>
      <w:lvlJc w:val="left"/>
      <w:pPr>
        <w:ind w:left="360" w:hanging="360"/>
      </w:pPr>
      <w:rPr>
        <w:rFonts w:eastAsia="SimSun" w:hint="eastAsia"/>
        <w:color w:val="222222"/>
        <w:sz w:val="24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7D5"/>
    <w:rsid w:val="00010077"/>
    <w:rsid w:val="00026821"/>
    <w:rsid w:val="00042C21"/>
    <w:rsid w:val="000808B9"/>
    <w:rsid w:val="00082426"/>
    <w:rsid w:val="00102809"/>
    <w:rsid w:val="00106F7F"/>
    <w:rsid w:val="00144DBE"/>
    <w:rsid w:val="00172A15"/>
    <w:rsid w:val="001E1506"/>
    <w:rsid w:val="0022137E"/>
    <w:rsid w:val="002232CD"/>
    <w:rsid w:val="002264D8"/>
    <w:rsid w:val="00236706"/>
    <w:rsid w:val="00291E71"/>
    <w:rsid w:val="002B374C"/>
    <w:rsid w:val="002D7988"/>
    <w:rsid w:val="00305DC6"/>
    <w:rsid w:val="00392F9C"/>
    <w:rsid w:val="003B5034"/>
    <w:rsid w:val="003D5BB4"/>
    <w:rsid w:val="003E6EAE"/>
    <w:rsid w:val="003F176B"/>
    <w:rsid w:val="0040498D"/>
    <w:rsid w:val="00413F15"/>
    <w:rsid w:val="00427B1D"/>
    <w:rsid w:val="00455B20"/>
    <w:rsid w:val="004753A2"/>
    <w:rsid w:val="004C20A5"/>
    <w:rsid w:val="004C7120"/>
    <w:rsid w:val="004D36FE"/>
    <w:rsid w:val="004F6033"/>
    <w:rsid w:val="00576CDC"/>
    <w:rsid w:val="0058421B"/>
    <w:rsid w:val="0059316D"/>
    <w:rsid w:val="005C1DD5"/>
    <w:rsid w:val="005C7485"/>
    <w:rsid w:val="006126F5"/>
    <w:rsid w:val="00650740"/>
    <w:rsid w:val="00670BF4"/>
    <w:rsid w:val="00681CEF"/>
    <w:rsid w:val="00695CA3"/>
    <w:rsid w:val="0077774A"/>
    <w:rsid w:val="00791D0F"/>
    <w:rsid w:val="007A6077"/>
    <w:rsid w:val="007B652D"/>
    <w:rsid w:val="007C64FA"/>
    <w:rsid w:val="007E2444"/>
    <w:rsid w:val="0085730A"/>
    <w:rsid w:val="00861A82"/>
    <w:rsid w:val="00886AF3"/>
    <w:rsid w:val="00886B4C"/>
    <w:rsid w:val="008C732F"/>
    <w:rsid w:val="008D3795"/>
    <w:rsid w:val="008F4429"/>
    <w:rsid w:val="009C4F63"/>
    <w:rsid w:val="009D2042"/>
    <w:rsid w:val="009D7152"/>
    <w:rsid w:val="00A0551B"/>
    <w:rsid w:val="00A1545D"/>
    <w:rsid w:val="00A25245"/>
    <w:rsid w:val="00A367C5"/>
    <w:rsid w:val="00A81C1B"/>
    <w:rsid w:val="00A9541F"/>
    <w:rsid w:val="00AA4EAB"/>
    <w:rsid w:val="00B05BB0"/>
    <w:rsid w:val="00B45196"/>
    <w:rsid w:val="00B646C2"/>
    <w:rsid w:val="00B75984"/>
    <w:rsid w:val="00B77EA6"/>
    <w:rsid w:val="00BF5FC9"/>
    <w:rsid w:val="00C0443A"/>
    <w:rsid w:val="00C20E62"/>
    <w:rsid w:val="00C224C5"/>
    <w:rsid w:val="00C52AD6"/>
    <w:rsid w:val="00C8359A"/>
    <w:rsid w:val="00C876A0"/>
    <w:rsid w:val="00CC3963"/>
    <w:rsid w:val="00CC47D5"/>
    <w:rsid w:val="00D13D91"/>
    <w:rsid w:val="00D1413C"/>
    <w:rsid w:val="00D50717"/>
    <w:rsid w:val="00DC79D6"/>
    <w:rsid w:val="00E0536B"/>
    <w:rsid w:val="00E53DBC"/>
    <w:rsid w:val="00E60538"/>
    <w:rsid w:val="00EC1CA0"/>
    <w:rsid w:val="00EC6FB7"/>
    <w:rsid w:val="00F00D1F"/>
    <w:rsid w:val="00F70DE1"/>
    <w:rsid w:val="00FA4520"/>
    <w:rsid w:val="00FA739F"/>
    <w:rsid w:val="00FB37A0"/>
    <w:rsid w:val="00FC343E"/>
    <w:rsid w:val="00FC570A"/>
    <w:rsid w:val="00FC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DAB1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0D1F"/>
    <w:rPr>
      <w:rFonts w:ascii="Times New Roman" w:hAnsi="Times New Roman" w:cs="Times New Roman"/>
      <w:kern w:val="0"/>
    </w:rPr>
  </w:style>
  <w:style w:type="paragraph" w:styleId="Heading4">
    <w:name w:val="heading 4"/>
    <w:basedOn w:val="Normal"/>
    <w:link w:val="Heading4Char"/>
    <w:uiPriority w:val="9"/>
    <w:qFormat/>
    <w:rsid w:val="002B374C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B374C"/>
    <w:rPr>
      <w:rFonts w:ascii="Times New Roman" w:hAnsi="Times New Roman" w:cs="Times New Roman"/>
      <w:b/>
      <w:bCs/>
      <w:kern w:val="0"/>
    </w:rPr>
  </w:style>
  <w:style w:type="paragraph" w:styleId="ListParagraph">
    <w:name w:val="List Paragraph"/>
    <w:basedOn w:val="Normal"/>
    <w:uiPriority w:val="34"/>
    <w:qFormat/>
    <w:rsid w:val="00E60538"/>
    <w:pPr>
      <w:widowControl w:val="0"/>
      <w:ind w:firstLineChars="200" w:firstLine="420"/>
      <w:jc w:val="both"/>
    </w:pPr>
    <w:rPr>
      <w:rFonts w:asciiTheme="minorHAnsi" w:hAnsiTheme="minorHAnsi" w:cstheme="minorBidi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Peilin，Zhang</dc:creator>
  <cp:keywords/>
  <dc:description/>
  <cp:lastModifiedBy>Xu, Ming</cp:lastModifiedBy>
  <cp:revision>6</cp:revision>
  <dcterms:created xsi:type="dcterms:W3CDTF">2018-10-22T11:21:00Z</dcterms:created>
  <dcterms:modified xsi:type="dcterms:W3CDTF">2021-10-05T06:36:00Z</dcterms:modified>
</cp:coreProperties>
</file>